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5A6" w:rsidRDefault="00A255A6" w:rsidP="00A255A6">
      <w:pPr>
        <w:pStyle w:val="Default"/>
      </w:pPr>
    </w:p>
    <w:p w:rsidR="00A255A6" w:rsidRPr="00A255A6" w:rsidRDefault="00A255A6" w:rsidP="00A255A6">
      <w:pPr>
        <w:pStyle w:val="Default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r w:rsidRPr="00A255A6">
        <w:rPr>
          <w:b/>
          <w:sz w:val="28"/>
          <w:szCs w:val="28"/>
          <w:u w:val="single"/>
        </w:rPr>
        <w:t>In</w:t>
      </w:r>
      <w:r w:rsidR="0078768B">
        <w:rPr>
          <w:b/>
          <w:sz w:val="28"/>
          <w:szCs w:val="28"/>
          <w:u w:val="single"/>
        </w:rPr>
        <w:t xml:space="preserve">stalované </w:t>
      </w:r>
      <w:proofErr w:type="spellStart"/>
      <w:r w:rsidR="0078768B">
        <w:rPr>
          <w:b/>
          <w:sz w:val="28"/>
          <w:szCs w:val="28"/>
          <w:u w:val="single"/>
        </w:rPr>
        <w:t>fotovoltaické</w:t>
      </w:r>
      <w:proofErr w:type="spellEnd"/>
      <w:r w:rsidR="0078768B">
        <w:rPr>
          <w:b/>
          <w:sz w:val="28"/>
          <w:szCs w:val="28"/>
          <w:u w:val="single"/>
        </w:rPr>
        <w:t xml:space="preserve"> moduly,</w:t>
      </w:r>
      <w:r w:rsidRPr="00A255A6">
        <w:rPr>
          <w:b/>
          <w:sz w:val="28"/>
          <w:szCs w:val="28"/>
          <w:u w:val="single"/>
        </w:rPr>
        <w:t xml:space="preserve"> měniče </w:t>
      </w:r>
      <w:r w:rsidR="0078768B">
        <w:rPr>
          <w:b/>
          <w:sz w:val="28"/>
          <w:szCs w:val="28"/>
          <w:u w:val="single"/>
        </w:rPr>
        <w:t xml:space="preserve">a </w:t>
      </w:r>
      <w:proofErr w:type="spellStart"/>
      <w:r w:rsidR="0078768B">
        <w:rPr>
          <w:b/>
          <w:sz w:val="28"/>
          <w:szCs w:val="28"/>
          <w:u w:val="single"/>
        </w:rPr>
        <w:t>a</w:t>
      </w:r>
      <w:proofErr w:type="spellEnd"/>
      <w:r w:rsidR="0078768B">
        <w:rPr>
          <w:b/>
          <w:sz w:val="28"/>
          <w:szCs w:val="28"/>
          <w:u w:val="single"/>
        </w:rPr>
        <w:t xml:space="preserve"> akumulátory </w:t>
      </w:r>
      <w:bookmarkStart w:id="0" w:name="_GoBack"/>
      <w:bookmarkEnd w:id="0"/>
      <w:r w:rsidRPr="00A255A6">
        <w:rPr>
          <w:b/>
          <w:sz w:val="28"/>
          <w:szCs w:val="28"/>
          <w:u w:val="single"/>
        </w:rPr>
        <w:t>musí dosahovat minimálně níže uvedených účinností: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53"/>
        <w:gridCol w:w="3053"/>
      </w:tblGrid>
      <w:tr w:rsidR="00A255A6" w:rsidRPr="00A255A6">
        <w:trPr>
          <w:trHeight w:val="93"/>
        </w:trPr>
        <w:tc>
          <w:tcPr>
            <w:tcW w:w="3053" w:type="dxa"/>
          </w:tcPr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Technologie </w:t>
            </w:r>
          </w:p>
          <w:p w:rsidR="00A255A6" w:rsidRDefault="00A255A6" w:rsidP="00A255A6">
            <w:pPr>
              <w:pBdr>
                <w:bottom w:val="single" w:sz="6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Fotovoltaické</w:t>
            </w:r>
            <w:proofErr w:type="spellEnd"/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moduly při standardních testovacích podmínkách (STC)</w:t>
            </w:r>
          </w:p>
        </w:tc>
        <w:tc>
          <w:tcPr>
            <w:tcW w:w="3053" w:type="dxa"/>
          </w:tcPr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Minimální účinnost </w:t>
            </w:r>
          </w:p>
          <w:p w:rsid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</w:p>
          <w:p w:rsidR="00A255A6" w:rsidRDefault="00A255A6" w:rsidP="00A255A6">
            <w:pPr>
              <w:pStyle w:val="Default"/>
              <w:rPr>
                <w:color w:val="auto"/>
              </w:rPr>
            </w:pPr>
          </w:p>
          <w:p w:rsidR="00A255A6" w:rsidRDefault="00A255A6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- 19,0 % pro </w:t>
            </w:r>
            <w:proofErr w:type="spellStart"/>
            <w:r>
              <w:rPr>
                <w:sz w:val="20"/>
                <w:szCs w:val="20"/>
              </w:rPr>
              <w:t>monofaciální</w:t>
            </w:r>
            <w:proofErr w:type="spellEnd"/>
            <w:r>
              <w:rPr>
                <w:sz w:val="20"/>
                <w:szCs w:val="20"/>
              </w:rPr>
              <w:t xml:space="preserve"> moduly z monokrystalického křemíku, </w:t>
            </w:r>
          </w:p>
          <w:p w:rsidR="00A255A6" w:rsidRDefault="00A255A6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- 18,0 % pro </w:t>
            </w:r>
            <w:proofErr w:type="spellStart"/>
            <w:r>
              <w:rPr>
                <w:sz w:val="20"/>
                <w:szCs w:val="20"/>
              </w:rPr>
              <w:t>monofaciální</w:t>
            </w:r>
            <w:proofErr w:type="spellEnd"/>
            <w:r>
              <w:rPr>
                <w:sz w:val="20"/>
                <w:szCs w:val="20"/>
              </w:rPr>
              <w:t xml:space="preserve"> moduly z </w:t>
            </w:r>
            <w:proofErr w:type="spellStart"/>
            <w:r>
              <w:rPr>
                <w:sz w:val="20"/>
                <w:szCs w:val="20"/>
              </w:rPr>
              <w:t>multikrystalického</w:t>
            </w:r>
            <w:proofErr w:type="spellEnd"/>
            <w:r>
              <w:rPr>
                <w:sz w:val="20"/>
                <w:szCs w:val="20"/>
              </w:rPr>
              <w:t xml:space="preserve"> křemíku, </w:t>
            </w:r>
          </w:p>
          <w:p w:rsidR="00A255A6" w:rsidRDefault="00A255A6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- 19,0 % pro bifaciální moduly při 0 % bifaciálním zisku, </w:t>
            </w:r>
          </w:p>
          <w:p w:rsidR="00A255A6" w:rsidRDefault="00A255A6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- 12,0 % pro tenkovrstvé moduly, </w:t>
            </w:r>
          </w:p>
          <w:p w:rsidR="00A255A6" w:rsidRDefault="00A255A6" w:rsidP="00A255A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nestanoveno pro</w:t>
            </w:r>
            <w:r w:rsidR="0078768B">
              <w:rPr>
                <w:sz w:val="20"/>
                <w:szCs w:val="20"/>
              </w:rPr>
              <w:t xml:space="preserve"> speciální výrobky a použití</w:t>
            </w:r>
          </w:p>
          <w:p w:rsidR="00A255A6" w:rsidRDefault="00A255A6" w:rsidP="00A255A6">
            <w:pPr>
              <w:pStyle w:val="Default"/>
              <w:rPr>
                <w:sz w:val="20"/>
                <w:szCs w:val="20"/>
              </w:rPr>
            </w:pPr>
          </w:p>
          <w:p w:rsidR="00A255A6" w:rsidRDefault="00A255A6" w:rsidP="00A255A6">
            <w:pPr>
              <w:pStyle w:val="Default"/>
              <w:rPr>
                <w:sz w:val="20"/>
                <w:szCs w:val="20"/>
              </w:rPr>
            </w:pPr>
          </w:p>
          <w:p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:rsidR="003C0E2A" w:rsidRDefault="003C0E2A" w:rsidP="00A255A6">
      <w:pPr>
        <w:pBdr>
          <w:bottom w:val="single" w:sz="6" w:space="2" w:color="auto"/>
        </w:pBd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93"/>
        <w:gridCol w:w="3093"/>
      </w:tblGrid>
      <w:tr w:rsidR="00A255A6" w:rsidRPr="00A255A6">
        <w:trPr>
          <w:trHeight w:val="93"/>
        </w:trPr>
        <w:tc>
          <w:tcPr>
            <w:tcW w:w="3093" w:type="dxa"/>
          </w:tcPr>
          <w:p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Měniče </w:t>
            </w:r>
          </w:p>
        </w:tc>
        <w:tc>
          <w:tcPr>
            <w:tcW w:w="3093" w:type="dxa"/>
          </w:tcPr>
          <w:p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97,0 % (Euro účinnost) </w:t>
            </w:r>
          </w:p>
        </w:tc>
      </w:tr>
    </w:tbl>
    <w:p w:rsidR="00A255A6" w:rsidRDefault="00A255A6"/>
    <w:p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4"/>
          <w:szCs w:val="24"/>
        </w:rPr>
      </w:pPr>
    </w:p>
    <w:p w:rsidR="00A255A6" w:rsidRDefault="00A255A6" w:rsidP="00A255A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 w:rsidRPr="00A255A6">
        <w:rPr>
          <w:rFonts w:ascii="Segoe UI" w:hAnsi="Segoe UI" w:cs="Segoe UI"/>
          <w:color w:val="000000"/>
          <w:sz w:val="20"/>
          <w:szCs w:val="20"/>
        </w:rPr>
        <w:t xml:space="preserve">Při realizaci mohou být použity výhradně komponenty s garantovanou životností: </w:t>
      </w:r>
    </w:p>
    <w:p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79"/>
        <w:gridCol w:w="3479"/>
      </w:tblGrid>
      <w:tr w:rsidR="00A255A6" w:rsidRPr="00A255A6">
        <w:trPr>
          <w:trHeight w:val="93"/>
        </w:trPr>
        <w:tc>
          <w:tcPr>
            <w:tcW w:w="3479" w:type="dxa"/>
          </w:tcPr>
          <w:p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Technologie </w:t>
            </w:r>
          </w:p>
        </w:tc>
        <w:tc>
          <w:tcPr>
            <w:tcW w:w="3479" w:type="dxa"/>
          </w:tcPr>
          <w:p w:rsidR="00A255A6" w:rsidRPr="00A255A6" w:rsidRDefault="00A255A6" w:rsidP="00A255A6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A255A6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Požadované zajištění životnosti </w:t>
            </w:r>
          </w:p>
        </w:tc>
      </w:tr>
    </w:tbl>
    <w:p w:rsidR="00A255A6" w:rsidRPr="00A255A6" w:rsidRDefault="00A255A6" w:rsidP="00A255A6">
      <w:pPr>
        <w:pStyle w:val="Default"/>
        <w:rPr>
          <w:color w:val="auto"/>
        </w:rPr>
      </w:pPr>
      <w:r>
        <w:t xml:space="preserve">                                                         </w:t>
      </w:r>
    </w:p>
    <w:p w:rsid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 w:rsidRPr="00A255A6">
        <w:rPr>
          <w:rFonts w:ascii="Segoe UI" w:hAnsi="Segoe UI" w:cs="Segoe UI"/>
          <w:b/>
          <w:color w:val="000000"/>
          <w:sz w:val="20"/>
          <w:szCs w:val="20"/>
        </w:rPr>
        <w:t>Fotovoltaické</w:t>
      </w:r>
      <w:proofErr w:type="spellEnd"/>
      <w:r w:rsidRPr="00A255A6">
        <w:rPr>
          <w:rFonts w:ascii="Segoe UI" w:hAnsi="Segoe UI" w:cs="Segoe UI"/>
          <w:b/>
          <w:color w:val="000000"/>
          <w:sz w:val="20"/>
          <w:szCs w:val="20"/>
        </w:rPr>
        <w:t xml:space="preserve"> moduly:  </w:t>
      </w:r>
    </w:p>
    <w:p w:rsid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                                                </w:t>
      </w:r>
      <w:r w:rsidRPr="00A255A6">
        <w:rPr>
          <w:rFonts w:ascii="Segoe UI" w:hAnsi="Segoe UI" w:cs="Segoe UI"/>
          <w:color w:val="000000"/>
          <w:sz w:val="20"/>
          <w:szCs w:val="20"/>
        </w:rPr>
        <w:t>min. 20letá lineární záruk</w:t>
      </w:r>
      <w:r w:rsidR="001E0222">
        <w:rPr>
          <w:rFonts w:ascii="Segoe UI" w:hAnsi="Segoe UI" w:cs="Segoe UI"/>
          <w:color w:val="000000"/>
          <w:sz w:val="20"/>
          <w:szCs w:val="20"/>
        </w:rPr>
        <w:t>a na výkon s max. poklesem na 80</w:t>
      </w:r>
      <w:r w:rsidRPr="00A255A6">
        <w:rPr>
          <w:rFonts w:ascii="Segoe UI" w:hAnsi="Segoe UI" w:cs="Segoe UI"/>
          <w:color w:val="000000"/>
          <w:sz w:val="20"/>
          <w:szCs w:val="20"/>
        </w:rPr>
        <w:t xml:space="preserve"> % </w:t>
      </w:r>
    </w:p>
    <w:p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                                                </w:t>
      </w:r>
      <w:proofErr w:type="gramStart"/>
      <w:r w:rsidRPr="00A255A6">
        <w:rPr>
          <w:rFonts w:ascii="Segoe UI" w:hAnsi="Segoe UI" w:cs="Segoe UI"/>
          <w:color w:val="000000"/>
          <w:sz w:val="20"/>
          <w:szCs w:val="20"/>
        </w:rPr>
        <w:t xml:space="preserve">původního </w:t>
      </w:r>
      <w:r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A255A6">
        <w:rPr>
          <w:rFonts w:ascii="Segoe UI" w:hAnsi="Segoe UI" w:cs="Segoe UI"/>
          <w:color w:val="000000"/>
          <w:sz w:val="20"/>
          <w:szCs w:val="20"/>
        </w:rPr>
        <w:t>výkonu</w:t>
      </w:r>
      <w:proofErr w:type="gramEnd"/>
      <w:r w:rsidRPr="00A255A6">
        <w:rPr>
          <w:rFonts w:ascii="Segoe UI" w:hAnsi="Segoe UI" w:cs="Segoe UI"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A255A6">
        <w:rPr>
          <w:rFonts w:ascii="Segoe UI" w:hAnsi="Segoe UI" w:cs="Segoe UI"/>
          <w:color w:val="000000"/>
          <w:sz w:val="20"/>
          <w:szCs w:val="20"/>
        </w:rPr>
        <w:t xml:space="preserve">garantovanou výrobcem </w:t>
      </w:r>
    </w:p>
    <w:p w:rsidR="00A255A6" w:rsidRPr="00A255A6" w:rsidRDefault="00A255A6" w:rsidP="00A255A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 w:rsidRPr="00A255A6">
        <w:rPr>
          <w:rFonts w:ascii="Segoe UI" w:hAnsi="Segoe UI" w:cs="Segoe UI"/>
          <w:color w:val="000000"/>
          <w:sz w:val="20"/>
          <w:szCs w:val="20"/>
        </w:rPr>
        <w:t xml:space="preserve">                                   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</w:t>
      </w:r>
      <w:r w:rsidRPr="00A255A6">
        <w:rPr>
          <w:rFonts w:ascii="Segoe UI" w:hAnsi="Segoe UI" w:cs="Segoe UI"/>
          <w:color w:val="000000"/>
          <w:sz w:val="20"/>
          <w:szCs w:val="20"/>
        </w:rPr>
        <w:t xml:space="preserve">min. 10letá produktová záruka garantovaná výrobcem </w:t>
      </w:r>
    </w:p>
    <w:p w:rsidR="00A255A6" w:rsidRDefault="00A255A6" w:rsidP="00A255A6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:rsidR="00A255A6" w:rsidRDefault="00A255A6" w:rsidP="00A255A6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:rsidR="00A255A6" w:rsidRDefault="00A255A6" w:rsidP="00A255A6">
      <w:pPr>
        <w:pStyle w:val="Default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Měniče :</w:t>
      </w:r>
      <w:r w:rsidRPr="00A255A6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</w:t>
      </w:r>
      <w:r w:rsidRPr="00A255A6">
        <w:rPr>
          <w:sz w:val="20"/>
          <w:szCs w:val="20"/>
        </w:rPr>
        <w:t>záruka</w:t>
      </w:r>
      <w:proofErr w:type="gramEnd"/>
      <w:r w:rsidRPr="00A255A6">
        <w:rPr>
          <w:sz w:val="20"/>
          <w:szCs w:val="20"/>
        </w:rPr>
        <w:t xml:space="preserve"> výrobce či dodavatele trvající min. 10 let na jeho bezodkladnou výměnu</w:t>
      </w:r>
    </w:p>
    <w:p w:rsidR="00A255A6" w:rsidRDefault="00A255A6" w:rsidP="00A255A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r w:rsidRPr="00A255A6">
        <w:rPr>
          <w:sz w:val="20"/>
          <w:szCs w:val="20"/>
        </w:rPr>
        <w:t xml:space="preserve"> či adekvátní náhradu v případě poruchy či poškození </w:t>
      </w:r>
    </w:p>
    <w:p w:rsidR="00A255A6" w:rsidRDefault="00A255A6" w:rsidP="00A255A6">
      <w:pPr>
        <w:pStyle w:val="Default"/>
        <w:pBdr>
          <w:bottom w:val="single" w:sz="6" w:space="1" w:color="auto"/>
        </w:pBdr>
        <w:rPr>
          <w:sz w:val="20"/>
          <w:szCs w:val="20"/>
        </w:rPr>
      </w:pPr>
    </w:p>
    <w:p w:rsidR="0078768B" w:rsidRDefault="0078768B" w:rsidP="00A255A6">
      <w:pPr>
        <w:pStyle w:val="Default"/>
        <w:pBdr>
          <w:bottom w:val="single" w:sz="6" w:space="1" w:color="auto"/>
        </w:pBdr>
        <w:rPr>
          <w:sz w:val="20"/>
          <w:szCs w:val="20"/>
        </w:rPr>
      </w:pPr>
    </w:p>
    <w:p w:rsidR="00A255A6" w:rsidRDefault="0078768B" w:rsidP="00A255A6">
      <w:pPr>
        <w:pStyle w:val="Default"/>
        <w:rPr>
          <w:sz w:val="20"/>
          <w:szCs w:val="20"/>
        </w:rPr>
      </w:pPr>
      <w:r w:rsidRPr="0078768B">
        <w:rPr>
          <w:b/>
          <w:sz w:val="20"/>
          <w:szCs w:val="20"/>
        </w:rPr>
        <w:t xml:space="preserve">Elektrické </w:t>
      </w:r>
      <w:proofErr w:type="gramStart"/>
      <w:r w:rsidRPr="0078768B">
        <w:rPr>
          <w:b/>
          <w:sz w:val="20"/>
          <w:szCs w:val="20"/>
        </w:rPr>
        <w:t>akumulátory</w:t>
      </w:r>
      <w:r>
        <w:rPr>
          <w:sz w:val="20"/>
          <w:szCs w:val="20"/>
        </w:rPr>
        <w:t>:        záruka</w:t>
      </w:r>
      <w:proofErr w:type="gramEnd"/>
      <w:r>
        <w:rPr>
          <w:sz w:val="20"/>
          <w:szCs w:val="20"/>
        </w:rPr>
        <w:t xml:space="preserve"> s max. poklesem na 60% nominální kapacity po 10-ti letech provozu</w:t>
      </w:r>
    </w:p>
    <w:p w:rsidR="0078768B" w:rsidRDefault="0078768B" w:rsidP="00A255A6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nebo dosažení min. 2 400 násobku nominální energie</w:t>
      </w:r>
    </w:p>
    <w:p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4"/>
          <w:szCs w:val="24"/>
        </w:rPr>
      </w:pPr>
    </w:p>
    <w:p w:rsidR="0078768B" w:rsidRDefault="0078768B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:rsidR="0078768B" w:rsidRDefault="0078768B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:rsidR="00A255A6" w:rsidRPr="00A255A6" w:rsidRDefault="00A255A6" w:rsidP="00A255A6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  <w:r w:rsidRPr="00A255A6">
        <w:rPr>
          <w:rFonts w:ascii="Segoe UI" w:hAnsi="Segoe UI" w:cs="Segoe UI"/>
          <w:color w:val="000000"/>
          <w:sz w:val="20"/>
          <w:szCs w:val="20"/>
        </w:rPr>
        <w:t xml:space="preserve">Instalované měniče musí být vybaveny plynulou, nebo diskrétní řiditelností dodávaného výkonu do elektrizační soustavy umožňující změnu dodávaného výkonu výrobny </w:t>
      </w:r>
    </w:p>
    <w:p w:rsidR="00A255A6" w:rsidRPr="00A255A6" w:rsidRDefault="00A255A6" w:rsidP="00A255A6">
      <w:pPr>
        <w:pStyle w:val="Default"/>
        <w:rPr>
          <w:color w:val="auto"/>
        </w:rPr>
      </w:pPr>
    </w:p>
    <w:p w:rsidR="00A255A6" w:rsidRPr="00A255A6" w:rsidRDefault="00A255A6" w:rsidP="00A255A6">
      <w:pPr>
        <w:pStyle w:val="Default"/>
        <w:rPr>
          <w:b/>
          <w:color w:val="auto"/>
        </w:rPr>
      </w:pPr>
    </w:p>
    <w:p w:rsidR="00A255A6" w:rsidRPr="00A255A6" w:rsidRDefault="00A255A6" w:rsidP="00A255A6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20"/>
          <w:szCs w:val="20"/>
        </w:rPr>
      </w:pPr>
    </w:p>
    <w:p w:rsidR="00A255A6" w:rsidRDefault="00A255A6"/>
    <w:sectPr w:rsidR="00A255A6" w:rsidSect="008B7B06">
      <w:pgSz w:w="11906" w:h="17338"/>
      <w:pgMar w:top="1237" w:right="941" w:bottom="503" w:left="122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92159DC"/>
    <w:multiLevelType w:val="hybridMultilevel"/>
    <w:tmpl w:val="4A0DFE1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65E093"/>
    <w:multiLevelType w:val="hybridMultilevel"/>
    <w:tmpl w:val="680B012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2CE9FE"/>
    <w:multiLevelType w:val="hybridMultilevel"/>
    <w:tmpl w:val="C47B5A1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9E235AA"/>
    <w:multiLevelType w:val="hybridMultilevel"/>
    <w:tmpl w:val="5352F108"/>
    <w:lvl w:ilvl="0" w:tplc="BF4AECB4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A6"/>
    <w:rsid w:val="001E0222"/>
    <w:rsid w:val="003C0E2A"/>
    <w:rsid w:val="0078768B"/>
    <w:rsid w:val="00A2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EC3C0-70C5-42C3-B472-1C889532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A255A6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25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Účet Microsoft</dc:creator>
  <cp:keywords/>
  <dc:description/>
  <cp:lastModifiedBy>Účet Microsoft</cp:lastModifiedBy>
  <cp:revision>5</cp:revision>
  <cp:lastPrinted>2023-08-20T19:00:00Z</cp:lastPrinted>
  <dcterms:created xsi:type="dcterms:W3CDTF">2023-03-08T16:04:00Z</dcterms:created>
  <dcterms:modified xsi:type="dcterms:W3CDTF">2023-08-20T19:00:00Z</dcterms:modified>
</cp:coreProperties>
</file>